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B2C22">
      <w:pPr>
        <w:pStyle w:val="pc"/>
      </w:pPr>
      <w:bookmarkStart w:id="0" w:name="_GoBack"/>
      <w:bookmarkEnd w:id="0"/>
      <w:r>
        <w:rPr>
          <w:rStyle w:val="s1"/>
        </w:rPr>
        <w:t xml:space="preserve">Приказ Председателя Комитета по делам строительства и жилищно-коммунального хозяйства </w:t>
      </w:r>
      <w:r>
        <w:rPr>
          <w:rStyle w:val="s1"/>
        </w:rPr>
        <w:br/>
        <w:t>Министерства индустрии и инфраструктурного развития Республики Казахстан от 28 сентября 2022 года № 189-НҚ</w:t>
      </w:r>
      <w:r>
        <w:rPr>
          <w:rStyle w:val="s1"/>
        </w:rPr>
        <w:br/>
        <w:t>О внесении изменений и дополнений в приказ исполняющего обязан</w:t>
      </w:r>
      <w:r>
        <w:rPr>
          <w:rStyle w:val="s1"/>
        </w:rPr>
        <w:t>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</w:t>
      </w:r>
      <w:r>
        <w:rPr>
          <w:rStyle w:val="s1"/>
        </w:rPr>
        <w:t>ьной отрасли»</w:t>
      </w:r>
    </w:p>
    <w:p w:rsidR="00000000" w:rsidRDefault="00BB2C22">
      <w:pPr>
        <w:pStyle w:val="pj"/>
        <w:ind w:firstLine="0"/>
      </w:pPr>
      <w:r>
        <w:t> </w:t>
      </w:r>
    </w:p>
    <w:p w:rsidR="00000000" w:rsidRDefault="00BB2C22">
      <w:pPr>
        <w:pStyle w:val="pj"/>
      </w:pPr>
      <w:r>
        <w:t xml:space="preserve">В соответствии с </w:t>
      </w:r>
      <w:hyperlink r:id="rId7" w:anchor="sub_id=1400" w:history="1">
        <w:r>
          <w:rPr>
            <w:rStyle w:val="a4"/>
          </w:rPr>
          <w:t>подпунктом 46) пункта 14</w:t>
        </w:r>
      </w:hyperlink>
      <w:r>
        <w:t xml:space="preserve"> </w:t>
      </w:r>
      <w:r>
        <w:t>Положения о Комитете по делам строительства и жилищно-коммунального хозяйства Министерства индустрии и инфраструктурного развития Республики Казахстан, утвержденного приказом Министра индустрии и инфраструктурного развития Республики Казахстан от 30 января</w:t>
      </w:r>
      <w:r>
        <w:t xml:space="preserve"> 2019 года № 55, </w:t>
      </w:r>
      <w:r>
        <w:rPr>
          <w:b/>
          <w:bCs/>
        </w:rPr>
        <w:t>ПРИКАЗЫВАЮ:</w:t>
      </w:r>
    </w:p>
    <w:p w:rsidR="00000000" w:rsidRDefault="00BB2C22">
      <w:pPr>
        <w:pStyle w:val="pj"/>
      </w:pPr>
      <w:r>
        <w:t xml:space="preserve">1. Внести в </w:t>
      </w:r>
      <w:hyperlink r:id="rId8" w:history="1">
        <w:r>
          <w:rPr>
            <w:rStyle w:val="a4"/>
          </w:rPr>
          <w:t>приказ</w:t>
        </w:r>
      </w:hyperlink>
      <w:r>
        <w:t xml:space="preserve"> исполняющего обязанности Председателя Комитета по делам строительства и жилищно-коммунального хозяйства и управления земельными ресурсами Минис</w:t>
      </w:r>
      <w:r>
        <w:t>терства национальной экономики Республики Казахстан от 29 декабря 2014 года № 156-НҚ «Об утверждении новой нормативной базы строительной отрасли» следующие изменения и дополнения:</w:t>
      </w:r>
    </w:p>
    <w:p w:rsidR="00000000" w:rsidRDefault="00BB2C22">
      <w:pPr>
        <w:pStyle w:val="pj"/>
      </w:pPr>
      <w:r>
        <w:t xml:space="preserve">Свод правил Республики Казахстан </w:t>
      </w:r>
      <w:hyperlink r:id="rId9" w:history="1">
        <w:r>
          <w:rPr>
            <w:rStyle w:val="a4"/>
          </w:rPr>
          <w:t>СП РК 3.02-101-2012</w:t>
        </w:r>
      </w:hyperlink>
      <w:r>
        <w:t xml:space="preserve"> «Здания жилые многоквартирные»:</w:t>
      </w:r>
    </w:p>
    <w:p w:rsidR="00000000" w:rsidRDefault="00BB2C22">
      <w:pPr>
        <w:pStyle w:val="pj"/>
      </w:pPr>
      <w:r>
        <w:t>дополнить пунктом 4.7.1.9 следующего содержания:</w:t>
      </w:r>
    </w:p>
    <w:p w:rsidR="00000000" w:rsidRDefault="00BB2C22">
      <w:pPr>
        <w:pStyle w:val="pji"/>
      </w:pPr>
      <w:r>
        <w:rPr>
          <w:rStyle w:val="s3"/>
        </w:rPr>
        <w:t>Текст соответствует оригиналу</w:t>
      </w:r>
    </w:p>
    <w:p w:rsidR="00000000" w:rsidRDefault="00BB2C22">
      <w:pPr>
        <w:pStyle w:val="pj"/>
      </w:pPr>
      <w:r>
        <w:t xml:space="preserve">«4.1.9 При размещении в зданиях жилых многоквартирных пожарного депо VI типа, участок подъездного путь </w:t>
      </w:r>
      <w:r>
        <w:t>к воротам данного пожарного депо выполняется обособленным от подъездных путей к зданию жилому многоквартирному.»;</w:t>
      </w:r>
    </w:p>
    <w:p w:rsidR="00000000" w:rsidRDefault="00BB2C22">
      <w:pPr>
        <w:pStyle w:val="pj"/>
      </w:pPr>
      <w:r>
        <w:t xml:space="preserve">Свод правил Республики Казахстан </w:t>
      </w:r>
      <w:hyperlink r:id="rId10" w:history="1">
        <w:r>
          <w:rPr>
            <w:rStyle w:val="a4"/>
          </w:rPr>
          <w:t>СП РК 2.02-105-2014</w:t>
        </w:r>
      </w:hyperlink>
      <w:r>
        <w:t xml:space="preserve"> «Проектирование объектов</w:t>
      </w:r>
      <w:r>
        <w:t xml:space="preserve"> органов противопожарной службы»:</w:t>
      </w:r>
    </w:p>
    <w:p w:rsidR="00000000" w:rsidRDefault="00BB2C22">
      <w:pPr>
        <w:pStyle w:val="pj"/>
      </w:pPr>
      <w:hyperlink r:id="rId11" w:anchor="sub_id=40101" w:history="1">
        <w:r>
          <w:rPr>
            <w:rStyle w:val="a4"/>
          </w:rPr>
          <w:t>пункт 4.1.1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«4.1.1 Пожарные депо в зависимости от назначения, количества автомобилей, состава помещений и их</w:t>
      </w:r>
      <w:r>
        <w:t xml:space="preserve"> площадей подразделяются:</w:t>
      </w:r>
    </w:p>
    <w:p w:rsidR="00000000" w:rsidRDefault="00BB2C22">
      <w:pPr>
        <w:pStyle w:val="pj"/>
      </w:pPr>
      <w:r>
        <w:t>- тип I - центральные пожарные депо на 6, 8, 10, 12 автомобилей для охраны городов;</w:t>
      </w:r>
    </w:p>
    <w:p w:rsidR="00000000" w:rsidRDefault="00BB2C22">
      <w:pPr>
        <w:pStyle w:val="pj"/>
      </w:pPr>
      <w:r>
        <w:t>- тип II - пожарные депо на 2, 4, 6 автомобилей для охраны городов;</w:t>
      </w:r>
    </w:p>
    <w:p w:rsidR="00000000" w:rsidRDefault="00BB2C22">
      <w:pPr>
        <w:pStyle w:val="pj"/>
      </w:pPr>
      <w:r>
        <w:t>- тип III - центральные пожарные депо на 6, 8, 10, 12 автомобилей для охраны п</w:t>
      </w:r>
      <w:r>
        <w:t>редприятий;</w:t>
      </w:r>
    </w:p>
    <w:p w:rsidR="00000000" w:rsidRDefault="00BB2C22">
      <w:pPr>
        <w:pStyle w:val="pj"/>
      </w:pPr>
      <w:r>
        <w:t>- тип IV - пожарные депо (посты) на 2, 4, 6 автомобилей для охраны предприятий;</w:t>
      </w:r>
    </w:p>
    <w:p w:rsidR="00000000" w:rsidRDefault="00BB2C22">
      <w:pPr>
        <w:pStyle w:val="pj"/>
      </w:pPr>
      <w:r>
        <w:t>- тип V - пожарные депо на 2, 4 автомобиля для охраны населенных пунктов;</w:t>
      </w:r>
    </w:p>
    <w:p w:rsidR="00000000" w:rsidRDefault="00BB2C22">
      <w:pPr>
        <w:pStyle w:val="pj"/>
      </w:pPr>
      <w:r>
        <w:t>- тип VI - пожарные депо на 1, 2 автомобиля (класса L) для охраны городов.»;</w:t>
      </w:r>
    </w:p>
    <w:p w:rsidR="00000000" w:rsidRDefault="00BB2C22">
      <w:pPr>
        <w:pStyle w:val="pj"/>
      </w:pPr>
      <w:hyperlink r:id="rId12" w:anchor="sub_id=40105" w:history="1">
        <w:r>
          <w:rPr>
            <w:rStyle w:val="a4"/>
          </w:rPr>
          <w:t>пункт 4.1.5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«4.1.5 Высота помещений для пожарных автомобилей и мойки определяется заданием на проектирование в зависимости от типа, но не менее 4,5 м, а дл</w:t>
      </w:r>
      <w:r>
        <w:t>я пожарных депо VI типа - не менее 3,5 м.»;</w:t>
      </w:r>
    </w:p>
    <w:p w:rsidR="00000000" w:rsidRDefault="00BB2C22">
      <w:pPr>
        <w:pStyle w:val="pj"/>
      </w:pPr>
      <w:r>
        <w:t>дополнить пунктом 4.1.7 следующего содержания:</w:t>
      </w:r>
    </w:p>
    <w:p w:rsidR="00000000" w:rsidRDefault="00BB2C22">
      <w:pPr>
        <w:pStyle w:val="pj"/>
      </w:pPr>
      <w:r>
        <w:t xml:space="preserve">«4.1.7 Пожарное депо VI типа проектируется в крупных городах при отсутствии пожарных депо, располагаемых на расстоянии, при котором время прибытия первого пожарного </w:t>
      </w:r>
      <w:r>
        <w:t>подразделения к месту вызова превышает установленное Техническим регламентом «Общие требования к пожарной безопасности». Размещение пожарного депо VI типа предусматривается во вновь проектируемых многоквартирных жилых зданиях и общественных зданиях высотой</w:t>
      </w:r>
      <w:r>
        <w:t xml:space="preserve"> более 28 метров.»;</w:t>
      </w:r>
    </w:p>
    <w:p w:rsidR="00000000" w:rsidRDefault="00BB2C22">
      <w:pPr>
        <w:pStyle w:val="pj"/>
      </w:pPr>
      <w:hyperlink r:id="rId13" w:anchor="sub_id=40302" w:history="1">
        <w:r>
          <w:rPr>
            <w:rStyle w:val="a4"/>
          </w:rPr>
          <w:t>пункт 4.3.2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«4.3.2 При проектировании объектов органов противопожарной службы необходимо учитывать выезды из пожарных депо</w:t>
      </w:r>
      <w:r>
        <w:t xml:space="preserve"> и постов, они должны быть расположены так, чтобы выезжающие пожарные автомобили не пересекали основных потоков транспорта и пешеходов, участок подъездного пути к воротам пожарного депо VI типа выполняется обособленным от подъездных путей к многоквартирном</w:t>
      </w:r>
      <w:r>
        <w:t>у жилому дому.»;</w:t>
      </w:r>
    </w:p>
    <w:p w:rsidR="00000000" w:rsidRDefault="00BB2C22">
      <w:pPr>
        <w:pStyle w:val="pj"/>
      </w:pPr>
      <w:hyperlink r:id="rId14" w:anchor="sub_id=40303" w:history="1">
        <w:r>
          <w:rPr>
            <w:rStyle w:val="a4"/>
          </w:rPr>
          <w:t>пункт 4.3.3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«4.3.3 Расстояние от границ участка пожарного депо до общественных и жилых зданий должно быть не менее 15 м, а до</w:t>
      </w:r>
      <w:r>
        <w:t xml:space="preserve"> школ, детских и лечебных учреждений - не менее 30 м, за исключением VI типа пожарных депо.»;</w:t>
      </w:r>
    </w:p>
    <w:p w:rsidR="00000000" w:rsidRDefault="00BB2C22">
      <w:pPr>
        <w:pStyle w:val="pj"/>
      </w:pPr>
      <w:hyperlink r:id="rId15" w:anchor="sub_id=40305" w:history="1">
        <w:r>
          <w:rPr>
            <w:rStyle w:val="a4"/>
          </w:rPr>
          <w:t>пункт 4.3.5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«4.3.5. Площадь земельных участков в</w:t>
      </w:r>
      <w:r>
        <w:t xml:space="preserve"> зависимости от типа пожарного депо определяется в соответствии с приложением Б, за исключением VI типа пожарных депо.»;</w:t>
      </w:r>
    </w:p>
    <w:p w:rsidR="00000000" w:rsidRDefault="00BB2C22">
      <w:pPr>
        <w:pStyle w:val="pj"/>
      </w:pPr>
      <w:hyperlink r:id="rId16" w:anchor="sub_id=40310" w:history="1">
        <w:r>
          <w:rPr>
            <w:rStyle w:val="a4"/>
          </w:rPr>
          <w:t>пункт 4.3.10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«4.3.10.</w:t>
      </w:r>
      <w:r>
        <w:t xml:space="preserve"> Площадь озеленения территории пожарного депо должна составлять не менее 15%</w:t>
      </w:r>
      <w:r>
        <w:rPr>
          <w:i/>
          <w:iCs/>
        </w:rPr>
        <w:t xml:space="preserve"> </w:t>
      </w:r>
      <w:r>
        <w:t>площади участка, за исключением VI типа пожарных депо.»;</w:t>
      </w:r>
    </w:p>
    <w:p w:rsidR="00000000" w:rsidRDefault="00BB2C22">
      <w:pPr>
        <w:pStyle w:val="pj"/>
      </w:pPr>
      <w:hyperlink r:id="rId17" w:anchor="sub_id=40311" w:history="1">
        <w:r>
          <w:rPr>
            <w:rStyle w:val="a4"/>
          </w:rPr>
          <w:t>пункт 4.3.11</w:t>
        </w:r>
      </w:hyperlink>
      <w:r>
        <w:t xml:space="preserve"> </w:t>
      </w:r>
      <w:r>
        <w:t>изложить в следующей редакции:</w:t>
      </w:r>
    </w:p>
    <w:p w:rsidR="00000000" w:rsidRDefault="00BB2C22">
      <w:pPr>
        <w:pStyle w:val="pj"/>
      </w:pPr>
      <w:r>
        <w:t>«4.3.11 Территория пожарного депо должна иметь ограждение высотой не менее 2,0, за исключением VI типа пожарных депо.»;</w:t>
      </w:r>
    </w:p>
    <w:p w:rsidR="00000000" w:rsidRDefault="00BB2C22">
      <w:pPr>
        <w:pStyle w:val="pj"/>
      </w:pPr>
      <w:hyperlink r:id="rId18" w:anchor="sub_id=4040104" w:history="1">
        <w:r>
          <w:rPr>
            <w:rStyle w:val="a4"/>
          </w:rPr>
          <w:t>пункт 4.4.1.4</w:t>
        </w:r>
      </w:hyperlink>
      <w:r>
        <w:t xml:space="preserve"> изложи</w:t>
      </w:r>
      <w:r>
        <w:t>ть в следующей редакции:</w:t>
      </w:r>
    </w:p>
    <w:p w:rsidR="00000000" w:rsidRDefault="00BB2C22">
      <w:pPr>
        <w:pStyle w:val="pj"/>
      </w:pPr>
      <w:r>
        <w:t>«4.4.1.4 Глубина помещений пожарной техники, технического обслуживания и мойки в зданиях пожарных депо I - IV типов должна составлять 15 м - 18 м, V типа - 12 м - 15 м, VI типа - 8 - 10 м, а при размещении крупногабаритной автотехн</w:t>
      </w:r>
      <w:r>
        <w:t>ики - по заданию на проектирование.»;</w:t>
      </w:r>
    </w:p>
    <w:p w:rsidR="00000000" w:rsidRDefault="00BB2C22">
      <w:pPr>
        <w:pStyle w:val="pj"/>
      </w:pPr>
      <w:hyperlink r:id="rId19" w:anchor="sub_id=4040205" w:history="1">
        <w:r>
          <w:rPr>
            <w:rStyle w:val="a4"/>
          </w:rPr>
          <w:t>пункт 4.4.2.5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«4.4.2.5 Ширину ворот в помещении пожарной техники следует принимать на 1,0 м больше наи</w:t>
      </w:r>
      <w:r>
        <w:t>большей габаритной ширины пожарного автомобиля, но не менее 4,2 м, для ворот VI типа пожарных депо не менее 3,5 м.»;</w:t>
      </w:r>
    </w:p>
    <w:p w:rsidR="00000000" w:rsidRDefault="00BB2C22">
      <w:pPr>
        <w:pStyle w:val="pj"/>
      </w:pPr>
      <w:hyperlink r:id="rId20" w:anchor="sub_id=4040206" w:history="1">
        <w:r>
          <w:rPr>
            <w:rStyle w:val="a4"/>
          </w:rPr>
          <w:t>пункт 4.4.2.6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«4.4.2.6 Каждые ворота должны быть двустворчатыми, металлическими с остеклением, утепленными и оборудоваться ручными и автоматическими запорами, а также фиксаторами, предотвращающими самопроизвольное их закрывание, допускается автоматические выдвижные воро</w:t>
      </w:r>
      <w:r>
        <w:t>та для VI типа пожарных депо.»;</w:t>
      </w:r>
    </w:p>
    <w:p w:rsidR="00000000" w:rsidRDefault="00BB2C22">
      <w:pPr>
        <w:pStyle w:val="pj"/>
      </w:pPr>
      <w:hyperlink r:id="rId21" w:anchor="sub_id=4040215" w:history="1">
        <w:r>
          <w:rPr>
            <w:rStyle w:val="a4"/>
          </w:rPr>
          <w:t>пункт 4.4.2.15</w:t>
        </w:r>
      </w:hyperlink>
      <w:r>
        <w:t xml:space="preserve"> изложить в следующей редакции:</w:t>
      </w:r>
    </w:p>
    <w:p w:rsidR="00000000" w:rsidRDefault="00BB2C22">
      <w:pPr>
        <w:pStyle w:val="pj"/>
      </w:pPr>
      <w:r>
        <w:t>«4.4.2.15 Ширина проходов в помещении гаража-стоянки принимается в соответствии с приложением</w:t>
      </w:r>
      <w:r>
        <w:t xml:space="preserve"> Ж, за исключением VI типа пожарных депо.»;</w:t>
      </w:r>
    </w:p>
    <w:p w:rsidR="00000000" w:rsidRDefault="00BB2C22">
      <w:pPr>
        <w:pStyle w:val="pj"/>
      </w:pPr>
      <w:hyperlink r:id="rId22" w:anchor="sub_id=3" w:history="1">
        <w:r>
          <w:rPr>
            <w:rStyle w:val="a4"/>
          </w:rPr>
          <w:t>Таблицу В1</w:t>
        </w:r>
      </w:hyperlink>
      <w:r>
        <w:t>*- Состав и площади помещений на территории пожарного депо Приложения В* - Состав и площади помещений на территории пожарно</w:t>
      </w:r>
      <w:r>
        <w:t>го депо изложить в следующей редакции:</w:t>
      </w:r>
    </w:p>
    <w:p w:rsidR="00000000" w:rsidRDefault="00BB2C22">
      <w:pPr>
        <w:pStyle w:val="pj"/>
      </w:pPr>
      <w:r>
        <w:t> </w:t>
      </w:r>
    </w:p>
    <w:p w:rsidR="00000000" w:rsidRDefault="00BB2C22">
      <w:pPr>
        <w:pStyle w:val="pc"/>
      </w:pPr>
      <w:r>
        <w:t>«Таблица В.1* - Состав и площади помещений на территории пожарного депо (продолжение)</w:t>
      </w:r>
    </w:p>
    <w:p w:rsidR="00000000" w:rsidRDefault="00BB2C22">
      <w:pPr>
        <w:pStyle w:val="pc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519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70"/>
      </w:tblGrid>
      <w:tr w:rsidR="00000000">
        <w:tc>
          <w:tcPr>
            <w:tcW w:w="8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Наименование сооружений</w:t>
            </w:r>
          </w:p>
        </w:tc>
        <w:tc>
          <w:tcPr>
            <w:tcW w:w="4156" w:type="pct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415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Тип пожарного депо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13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II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III</w:t>
            </w:r>
          </w:p>
        </w:tc>
        <w:tc>
          <w:tcPr>
            <w:tcW w:w="53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IV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V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VI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415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Количество автомобилей в депо, шт.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18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4. Пункт связи</w:t>
            </w:r>
            <w:r>
              <w:t xml:space="preserve"> </w:t>
            </w:r>
          </w:p>
          <w:p w:rsidR="00000000" w:rsidRDefault="00BB2C22">
            <w:pPr>
              <w:pStyle w:val="pji"/>
            </w:pPr>
            <w:r>
              <w:t>а) Диспетчерская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б) Аппаратная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в) Комната</w:t>
            </w:r>
          </w:p>
          <w:p w:rsidR="00000000" w:rsidRDefault="00BB2C22">
            <w:pPr>
              <w:pStyle w:val="pji"/>
            </w:pPr>
            <w:r>
              <w:t>персонала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5. Рукавный участок: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а) Помещение для обслуживания и хранения рукавов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б) Помещение для мойки и сушки спецодежды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6. Пост (ГДЗС):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Помещения для хранения и проверки противогазов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7. Служебные помещения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 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а) Кабинет начальника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б) Кабинет зам. начальника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в) Канцелярия (приемная)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г) Помещение инспекторов</w:t>
            </w:r>
          </w:p>
        </w:tc>
        <w:tc>
          <w:tcPr>
            <w:tcW w:w="415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4,5 м</w:t>
            </w:r>
            <w:r>
              <w:rPr>
                <w:vertAlign w:val="superscript"/>
              </w:rPr>
              <w:t>2</w:t>
            </w:r>
            <w:r>
              <w:t xml:space="preserve"> на сотрудника, предусматривается на 100% численности</w:t>
            </w:r>
          </w:p>
        </w:tc>
      </w:tr>
      <w:tr w:rsidR="00000000">
        <w:tc>
          <w:tcPr>
            <w:tcW w:w="8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д) Комната для отдыха дежурной смены</w:t>
            </w:r>
          </w:p>
        </w:tc>
        <w:tc>
          <w:tcPr>
            <w:tcW w:w="415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4,5 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t>на сотрудника, из расчета 100% численности дежурной смены</w:t>
            </w:r>
          </w:p>
        </w:tc>
      </w:tr>
      <w:tr w:rsidR="00000000">
        <w:tc>
          <w:tcPr>
            <w:tcW w:w="5000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 xml:space="preserve">Примечание - В состав учебно-спортивной зоны центральных пожарных депо рекомендуется включать: </w:t>
            </w:r>
          </w:p>
          <w:p w:rsidR="00000000" w:rsidRDefault="00BB2C22">
            <w:pPr>
              <w:pStyle w:val="pji"/>
            </w:pPr>
            <w:r>
              <w:t xml:space="preserve">Полосу психологической подготовки личного состава; </w:t>
            </w:r>
          </w:p>
          <w:p w:rsidR="00000000" w:rsidRDefault="00BB2C22">
            <w:pPr>
              <w:pStyle w:val="pji"/>
            </w:pPr>
            <w:r>
              <w:t xml:space="preserve">Площадку для пожарной эстафеты; </w:t>
            </w:r>
          </w:p>
          <w:p w:rsidR="00000000" w:rsidRDefault="00BB2C22">
            <w:pPr>
              <w:pStyle w:val="pji"/>
            </w:pPr>
            <w:r>
              <w:t xml:space="preserve">Тренировочный комплекс ГДЗС; </w:t>
            </w:r>
          </w:p>
          <w:p w:rsidR="00000000" w:rsidRDefault="00BB2C22">
            <w:pPr>
              <w:pStyle w:val="pji"/>
            </w:pPr>
            <w:r>
              <w:t>Спортивно-гимнастический комплекс (спортивные залы)</w:t>
            </w:r>
          </w:p>
        </w:tc>
      </w:tr>
    </w:tbl>
    <w:p w:rsidR="00000000" w:rsidRDefault="00BB2C22">
      <w:pPr>
        <w:pStyle w:val="pr"/>
      </w:pPr>
      <w:r>
        <w:t>»</w:t>
      </w:r>
    </w:p>
    <w:p w:rsidR="00000000" w:rsidRDefault="00BB2C22">
      <w:pPr>
        <w:pStyle w:val="pj"/>
      </w:pPr>
      <w:hyperlink r:id="rId23" w:anchor="sub_id=4" w:history="1">
        <w:r>
          <w:rPr>
            <w:rStyle w:val="a4"/>
          </w:rPr>
          <w:t>Таблицу Г1</w:t>
        </w:r>
      </w:hyperlink>
      <w:r>
        <w:t>* - Состав и площади помещений административно-бытовых зданий пожарных депо Приложения Г* - Состав и площади помещений административно-бытовых зданий и жилых пожарных депо изложить в следующей редакции:</w:t>
      </w:r>
    </w:p>
    <w:p w:rsidR="00000000" w:rsidRDefault="00BB2C22">
      <w:pPr>
        <w:pStyle w:val="pj"/>
      </w:pPr>
      <w:r>
        <w:t> </w:t>
      </w:r>
    </w:p>
    <w:p w:rsidR="00000000" w:rsidRDefault="00BB2C22">
      <w:pPr>
        <w:pStyle w:val="pc"/>
      </w:pPr>
      <w:r>
        <w:t>«Таблица Г.1 - Состав и площади помещений администр</w:t>
      </w:r>
      <w:r>
        <w:t>ативно-бытовых зданий пожарного депо (продолжение)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576"/>
        <w:gridCol w:w="576"/>
        <w:gridCol w:w="576"/>
        <w:gridCol w:w="576"/>
        <w:gridCol w:w="576"/>
        <w:gridCol w:w="576"/>
        <w:gridCol w:w="456"/>
        <w:gridCol w:w="576"/>
        <w:gridCol w:w="576"/>
        <w:gridCol w:w="576"/>
        <w:gridCol w:w="576"/>
        <w:gridCol w:w="576"/>
        <w:gridCol w:w="576"/>
        <w:gridCol w:w="456"/>
        <w:gridCol w:w="576"/>
        <w:gridCol w:w="456"/>
        <w:gridCol w:w="576"/>
      </w:tblGrid>
      <w:tr w:rsidR="00000000">
        <w:tc>
          <w:tcPr>
            <w:tcW w:w="10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Наименование сооружений</w:t>
            </w:r>
          </w:p>
        </w:tc>
        <w:tc>
          <w:tcPr>
            <w:tcW w:w="3922" w:type="pct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3922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Тип пожарного депо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1387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II</w:t>
            </w:r>
          </w:p>
        </w:tc>
        <w:tc>
          <w:tcPr>
            <w:tcW w:w="51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III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IV</w:t>
            </w:r>
          </w:p>
        </w:tc>
        <w:tc>
          <w:tcPr>
            <w:tcW w:w="53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V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VI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3922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Количество автомобилей в депо, шт.</w:t>
            </w:r>
          </w:p>
        </w:tc>
      </w:tr>
      <w:tr w:rsidR="0000000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14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16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18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1. Помещения пожарной техники и техобслуживания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а) Помещения пожарной техники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860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860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580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175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100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б) Пост техобслуживания с осмотровой канавой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в) Мастерская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г) Кладовая для инструмента и запасных частей обслуживания и хранения рукавов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д) Пост мойки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е) Кабинет безопасности (ГДЗС):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20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ж) Кабинет начальника дежурной смены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з) Учебный класс</w:t>
            </w:r>
          </w:p>
        </w:tc>
        <w:tc>
          <w:tcPr>
            <w:tcW w:w="3476" w:type="pct"/>
            <w:gridSpan w:val="1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BB2C22">
            <w:pPr>
              <w:pStyle w:val="pc"/>
            </w:pPr>
            <w:r>
              <w:t>2,5 м</w:t>
            </w:r>
            <w:r>
              <w:rPr>
                <w:vertAlign w:val="superscript"/>
              </w:rPr>
              <w:t>2</w:t>
            </w:r>
            <w:r>
              <w:t xml:space="preserve"> на сотрудника, из расчета 100% численности дежурной смены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и) Класс оперативно-тактического мастерства начальника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0000" w:rsidRDefault="00BB2C22">
            <w:pPr>
              <w:rPr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к) Комната инструктажа населения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2. Вспомогательные помещения: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а) Восстановительный пункт и гардеробная: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Гардероб</w:t>
            </w:r>
          </w:p>
        </w:tc>
        <w:tc>
          <w:tcPr>
            <w:tcW w:w="3476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4,5 м</w:t>
            </w:r>
            <w:r>
              <w:rPr>
                <w:vertAlign w:val="superscript"/>
              </w:rPr>
              <w:t>2</w:t>
            </w:r>
            <w:r>
              <w:t xml:space="preserve"> на сотрудника, из расчета 100% численности личного состава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rPr>
                <w:b/>
                <w:bCs/>
              </w:rPr>
              <w:t>-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Термокамера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 </w:t>
            </w:r>
          </w:p>
        </w:tc>
      </w:tr>
      <w:tr w:rsidR="00000000">
        <w:tc>
          <w:tcPr>
            <w:tcW w:w="10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ji"/>
            </w:pPr>
            <w:r>
              <w:t>Душевые и санитарные узлы</w:t>
            </w:r>
          </w:p>
        </w:tc>
        <w:tc>
          <w:tcPr>
            <w:tcW w:w="3922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c"/>
            </w:pPr>
            <w:r>
              <w:t>Предусматриваются согласно действующим нормам</w:t>
            </w:r>
          </w:p>
        </w:tc>
      </w:tr>
    </w:tbl>
    <w:p w:rsidR="00000000" w:rsidRDefault="00BB2C22">
      <w:pPr>
        <w:pStyle w:val="pr"/>
      </w:pPr>
      <w:r>
        <w:rPr>
          <w:rStyle w:val="s0"/>
        </w:rPr>
        <w:t>»</w:t>
      </w:r>
    </w:p>
    <w:p w:rsidR="00000000" w:rsidRDefault="00BB2C22">
      <w:pPr>
        <w:pStyle w:val="pj"/>
      </w:pPr>
      <w:r>
        <w:t>2. Управлению технического регулирования и нормирования Комитета по делам строительства и жилищно-коммунального хозяйства Министерства индустрии и инфраструктурного развития Республики Казахстан обеспечить:</w:t>
      </w:r>
    </w:p>
    <w:p w:rsidR="00000000" w:rsidRDefault="00BB2C22">
      <w:pPr>
        <w:pStyle w:val="pj"/>
      </w:pPr>
      <w:r>
        <w:t>1) размещение настоящего приказа на официальном и</w:t>
      </w:r>
      <w:r>
        <w:t>нтернет-ресурсе Комитета по делам строительства и жилищно-коммунального хозяйства Министерства индустрии и инфраструктурного развития Республики Казахстан;</w:t>
      </w:r>
    </w:p>
    <w:p w:rsidR="00000000" w:rsidRDefault="00BB2C22">
      <w:pPr>
        <w:pStyle w:val="pj"/>
      </w:pPr>
      <w:r>
        <w:t>2) публикацию настоящего приказа в установленном порядке в отраслевых средствах массовой информации.</w:t>
      </w:r>
    </w:p>
    <w:p w:rsidR="00000000" w:rsidRDefault="00BB2C22">
      <w:pPr>
        <w:pStyle w:val="pj"/>
      </w:pPr>
      <w:r>
        <w:t>3. Контроль за исполнением настоящего приказа возложить на курирующего заместителя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Казахстан.</w:t>
      </w:r>
    </w:p>
    <w:p w:rsidR="00000000" w:rsidRDefault="00BB2C22">
      <w:pPr>
        <w:pStyle w:val="pj"/>
      </w:pPr>
      <w:r>
        <w:t>4. Настоящий приказ</w:t>
      </w:r>
      <w:r>
        <w:t xml:space="preserve"> вводится в действие со дня его подписания.</w:t>
      </w:r>
    </w:p>
    <w:p w:rsidR="00000000" w:rsidRDefault="00BB2C22">
      <w:pPr>
        <w:pStyle w:val="pj"/>
      </w:pPr>
      <w:r>
        <w:rPr>
          <w:b/>
          <w:bCs/>
        </w:rPr>
        <w:t> </w:t>
      </w:r>
    </w:p>
    <w:p w:rsidR="00000000" w:rsidRDefault="00BB2C22">
      <w:pPr>
        <w:pStyle w:val="pj"/>
      </w:pPr>
      <w:r>
        <w:rPr>
          <w:b/>
          <w:bCs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000000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"/>
            </w:pPr>
            <w:r>
              <w:rPr>
                <w:b/>
                <w:bCs/>
              </w:rPr>
              <w:t xml:space="preserve">Председатель Комитета по делам строительства и </w:t>
            </w:r>
          </w:p>
          <w:p w:rsidR="00000000" w:rsidRDefault="00BB2C22">
            <w:pPr>
              <w:pStyle w:val="p"/>
            </w:pPr>
            <w:r>
              <w:rPr>
                <w:b/>
                <w:bCs/>
              </w:rPr>
              <w:t xml:space="preserve">жилищно-коммунального хозяйства Министерства </w:t>
            </w:r>
          </w:p>
          <w:p w:rsidR="00000000" w:rsidRDefault="00BB2C22">
            <w:pPr>
              <w:pStyle w:val="p"/>
            </w:pPr>
            <w:r>
              <w:rPr>
                <w:b/>
                <w:bCs/>
              </w:rPr>
              <w:t xml:space="preserve">индустрии и инфраструктурного развития </w:t>
            </w:r>
          </w:p>
          <w:p w:rsidR="00000000" w:rsidRDefault="00BB2C22">
            <w:pPr>
              <w:pStyle w:val="p"/>
            </w:pPr>
            <w:r>
              <w:rPr>
                <w:b/>
                <w:bCs/>
              </w:rPr>
              <w:t xml:space="preserve">Республики Казахстан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B2C22">
            <w:pPr>
              <w:pStyle w:val="pr"/>
            </w:pPr>
            <w:r>
              <w:rPr>
                <w:b/>
                <w:bCs/>
              </w:rPr>
              <w:t> </w:t>
            </w:r>
          </w:p>
          <w:p w:rsidR="00000000" w:rsidRDefault="00BB2C22">
            <w:pPr>
              <w:pStyle w:val="pr"/>
            </w:pPr>
            <w:r>
              <w:rPr>
                <w:b/>
                <w:bCs/>
              </w:rPr>
              <w:t> </w:t>
            </w:r>
          </w:p>
          <w:p w:rsidR="00000000" w:rsidRDefault="00BB2C22">
            <w:pPr>
              <w:pStyle w:val="pr"/>
            </w:pPr>
            <w:r>
              <w:rPr>
                <w:b/>
                <w:bCs/>
              </w:rPr>
              <w:t> </w:t>
            </w:r>
          </w:p>
          <w:p w:rsidR="00000000" w:rsidRDefault="00BB2C22">
            <w:pPr>
              <w:pStyle w:val="pr"/>
            </w:pPr>
            <w:r>
              <w:rPr>
                <w:b/>
                <w:bCs/>
              </w:rPr>
              <w:t>Т. Карагойшин</w:t>
            </w:r>
          </w:p>
        </w:tc>
      </w:tr>
    </w:tbl>
    <w:p w:rsidR="00000000" w:rsidRDefault="00BB2C22">
      <w:pPr>
        <w:pStyle w:val="p"/>
      </w:pPr>
      <w:r>
        <w:t> </w:t>
      </w:r>
    </w:p>
    <w:sectPr w:rsidR="0000000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C22" w:rsidRDefault="00BB2C22" w:rsidP="00BB2C22">
      <w:r>
        <w:separator/>
      </w:r>
    </w:p>
  </w:endnote>
  <w:endnote w:type="continuationSeparator" w:id="0">
    <w:p w:rsidR="00BB2C22" w:rsidRDefault="00BB2C22" w:rsidP="00BB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22" w:rsidRDefault="00BB2C2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22" w:rsidRDefault="00BB2C2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22" w:rsidRDefault="00BB2C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C22" w:rsidRDefault="00BB2C22" w:rsidP="00BB2C22">
      <w:r>
        <w:separator/>
      </w:r>
    </w:p>
  </w:footnote>
  <w:footnote w:type="continuationSeparator" w:id="0">
    <w:p w:rsidR="00BB2C22" w:rsidRDefault="00BB2C22" w:rsidP="00BB2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22" w:rsidRDefault="00BB2C2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22" w:rsidRDefault="00BB2C22" w:rsidP="00BB2C22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Источник: Информационная система "ПАРАГРАФ"</w:t>
    </w:r>
  </w:p>
  <w:p w:rsidR="00BB2C22" w:rsidRDefault="00BB2C22" w:rsidP="00BB2C22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Документ: 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28 сентября 2022 года № 189-НҚ «О внесении изменений и дополнений в приказ исполняющего обязанности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</w:t>
    </w:r>
  </w:p>
  <w:p w:rsidR="00BB2C22" w:rsidRPr="00BB2C22" w:rsidRDefault="00BB2C22" w:rsidP="00BB2C22">
    <w:pPr>
      <w:pStyle w:val="a6"/>
      <w:spacing w:after="100"/>
      <w:jc w:val="right"/>
      <w:rPr>
        <w:rFonts w:ascii="Arial" w:hAnsi="Arial" w:cs="Arial"/>
        <w:color w:val="808080"/>
        <w:sz w:val="20"/>
      </w:rPr>
    </w:pPr>
    <w:r>
      <w:rPr>
        <w:rFonts w:ascii="Arial" w:hAnsi="Arial" w:cs="Arial"/>
        <w:color w:val="808080"/>
        <w:sz w:val="20"/>
      </w:rPr>
      <w:t>Статус документа: действующий. Дата: 28.09.2022 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22" w:rsidRDefault="00BB2C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B2C22"/>
    <w:rsid w:val="00BB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pr">
    <w:name w:val="pr"/>
    <w:basedOn w:val="a"/>
    <w:pPr>
      <w:jc w:val="right"/>
    </w:pPr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msochpdefault">
    <w:name w:val="msochpdefault"/>
    <w:basedOn w:val="a"/>
    <w:rPr>
      <w:color w:val="000000"/>
      <w:sz w:val="20"/>
      <w:szCs w:val="2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basedOn w:val="a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">
    <w:name w:val="p"/>
    <w:basedOn w:val="a"/>
    <w:rPr>
      <w:color w:val="000000"/>
    </w:rPr>
  </w:style>
  <w:style w:type="paragraph" w:styleId="a6">
    <w:name w:val="header"/>
    <w:basedOn w:val="a"/>
    <w:link w:val="a7"/>
    <w:uiPriority w:val="99"/>
    <w:unhideWhenUsed/>
    <w:rsid w:val="00BB2C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2C22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B2C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2C22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Pr>
      <w:color w:val="000000"/>
    </w:rPr>
  </w:style>
  <w:style w:type="paragraph" w:customStyle="1" w:styleId="pc">
    <w:name w:val="pc"/>
    <w:basedOn w:val="a"/>
    <w:pPr>
      <w:jc w:val="center"/>
    </w:pPr>
    <w:rPr>
      <w:color w:val="000000"/>
    </w:rPr>
  </w:style>
  <w:style w:type="paragraph" w:customStyle="1" w:styleId="pr">
    <w:name w:val="pr"/>
    <w:basedOn w:val="a"/>
    <w:pPr>
      <w:jc w:val="right"/>
    </w:pPr>
    <w:rPr>
      <w:color w:val="000000"/>
    </w:rPr>
  </w:style>
  <w:style w:type="paragraph" w:customStyle="1" w:styleId="pj">
    <w:name w:val="pj"/>
    <w:basedOn w:val="a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pPr>
      <w:jc w:val="both"/>
    </w:pPr>
    <w:rPr>
      <w:color w:val="000000"/>
    </w:rPr>
  </w:style>
  <w:style w:type="paragraph" w:customStyle="1" w:styleId="msochpdefault">
    <w:name w:val="msochpdefault"/>
    <w:basedOn w:val="a"/>
    <w:rPr>
      <w:color w:val="000000"/>
      <w:sz w:val="20"/>
      <w:szCs w:val="2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basedOn w:val="a0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basedOn w:val="a0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p">
    <w:name w:val="p"/>
    <w:basedOn w:val="a"/>
    <w:rPr>
      <w:color w:val="000000"/>
    </w:rPr>
  </w:style>
  <w:style w:type="paragraph" w:styleId="a6">
    <w:name w:val="header"/>
    <w:basedOn w:val="a"/>
    <w:link w:val="a7"/>
    <w:uiPriority w:val="99"/>
    <w:unhideWhenUsed/>
    <w:rsid w:val="00BB2C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2C22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B2C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2C2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doc_id=31682327" TargetMode="External"/><Relationship Id="rId13" Type="http://schemas.openxmlformats.org/officeDocument/2006/relationships/hyperlink" Target="http://online.zakon.kz/Document/?doc_id=37997408" TargetMode="External"/><Relationship Id="rId18" Type="http://schemas.openxmlformats.org/officeDocument/2006/relationships/hyperlink" Target="http://online.zakon.kz/Document/?doc_id=37997408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online.zakon.kz/Document/?doc_id=37997408" TargetMode="External"/><Relationship Id="rId7" Type="http://schemas.openxmlformats.org/officeDocument/2006/relationships/hyperlink" Target="http://online.zakon.kz/Document/?doc_id=32587527" TargetMode="External"/><Relationship Id="rId12" Type="http://schemas.openxmlformats.org/officeDocument/2006/relationships/hyperlink" Target="http://online.zakon.kz/Document/?doc_id=37997408" TargetMode="External"/><Relationship Id="rId17" Type="http://schemas.openxmlformats.org/officeDocument/2006/relationships/hyperlink" Target="http://online.zakon.kz/Document/?doc_id=37997408" TargetMode="External"/><Relationship Id="rId25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yperlink" Target="http://online.zakon.kz/Document/?doc_id=37997408" TargetMode="External"/><Relationship Id="rId20" Type="http://schemas.openxmlformats.org/officeDocument/2006/relationships/hyperlink" Target="http://online.zakon.kz/Document/?doc_id=37997408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doc_id=37997408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online.zakon.kz/Document/?doc_id=37997408" TargetMode="External"/><Relationship Id="rId23" Type="http://schemas.openxmlformats.org/officeDocument/2006/relationships/hyperlink" Target="http://online.zakon.kz/Document/?doc_id=37997408" TargetMode="External"/><Relationship Id="rId28" Type="http://schemas.openxmlformats.org/officeDocument/2006/relationships/header" Target="header3.xml"/><Relationship Id="rId10" Type="http://schemas.openxmlformats.org/officeDocument/2006/relationships/hyperlink" Target="http://online.zakon.kz/Document/?doc_id=37997408" TargetMode="External"/><Relationship Id="rId19" Type="http://schemas.openxmlformats.org/officeDocument/2006/relationships/hyperlink" Target="http://online.zakon.kz/Document/?doc_id=3799740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online.zakon.kz/Document/?doc_id=34266555" TargetMode="External"/><Relationship Id="rId14" Type="http://schemas.openxmlformats.org/officeDocument/2006/relationships/hyperlink" Target="http://online.zakon.kz/Document/?doc_id=37997408" TargetMode="External"/><Relationship Id="rId22" Type="http://schemas.openxmlformats.org/officeDocument/2006/relationships/hyperlink" Target="http://online.zakon.kz/Document/?doc_id=37997408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1532</Words>
  <Characters>9779</Characters>
  <Application>Microsoft Office Word</Application>
  <DocSecurity>0</DocSecurity>
  <Lines>81</Lines>
  <Paragraphs>22</Paragraphs>
  <ScaleCrop>false</ScaleCrop>
  <Company/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 от 28 сентября 2022 года № 189-НҚ «О внесении изменений и дополнений в приказ исполняющего обязанности Председателя Комитета по делам строительства и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 (©Paragraph 2022)</dc:title>
  <dc:subject/>
  <dc:creator>Сергей М</dc:creator>
  <cp:keywords/>
  <dc:description/>
  <cp:lastModifiedBy>Сергей М</cp:lastModifiedBy>
  <cp:revision>2</cp:revision>
  <dcterms:created xsi:type="dcterms:W3CDTF">2022-10-10T04:01:00Z</dcterms:created>
  <dcterms:modified xsi:type="dcterms:W3CDTF">2022-10-10T04:01:00Z</dcterms:modified>
</cp:coreProperties>
</file>